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706A2" w14:textId="77777777" w:rsidR="00AB38EC" w:rsidRDefault="00AB38EC" w:rsidP="00AB38EC">
      <w:r w:rsidRPr="00156634">
        <w:rPr>
          <w:noProof/>
          <w:sz w:val="28"/>
          <w:szCs w:val="28"/>
        </w:rPr>
        <w:drawing>
          <wp:anchor distT="0" distB="0" distL="114300" distR="114300" simplePos="0" relativeHeight="251658240" behindDoc="0" locked="0" layoutInCell="1" allowOverlap="1" wp14:anchorId="1F037C72" wp14:editId="63C9D2B7">
            <wp:simplePos x="0" y="0"/>
            <wp:positionH relativeFrom="column">
              <wp:posOffset>1852596</wp:posOffset>
            </wp:positionH>
            <wp:positionV relativeFrom="paragraph">
              <wp:posOffset>-308810</wp:posOffset>
            </wp:positionV>
            <wp:extent cx="2476500" cy="495300"/>
            <wp:effectExtent l="0" t="0" r="0" b="0"/>
            <wp:wrapNone/>
            <wp:docPr id="4" name="Picture 3" descr="A close up of a sign&#10;&#10;Description automatically generated">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 name="Picture 3" descr="A close up of a sign&#10;&#10;Description automatically generated">
                      <a:hlinkClick r:id="rId10"/>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495300"/>
                    </a:xfrm>
                    <a:prstGeom prst="rect">
                      <a:avLst/>
                    </a:prstGeom>
                    <a:noFill/>
                    <a:ln>
                      <a:noFill/>
                    </a:ln>
                  </pic:spPr>
                </pic:pic>
              </a:graphicData>
            </a:graphic>
          </wp:anchor>
        </w:drawing>
      </w:r>
    </w:p>
    <w:p w14:paraId="12764F98" w14:textId="77777777" w:rsidR="00AB38EC" w:rsidRDefault="00AB38EC" w:rsidP="00AB38EC"/>
    <w:p w14:paraId="1CE26610" w14:textId="42FCAB73" w:rsidR="00E5686A" w:rsidRPr="00EB7A3F" w:rsidRDefault="001E7535" w:rsidP="00EB7A3F">
      <w:pPr>
        <w:jc w:val="center"/>
        <w:rPr>
          <w:b/>
          <w:sz w:val="28"/>
        </w:rPr>
      </w:pPr>
      <w:r>
        <w:rPr>
          <w:b/>
          <w:sz w:val="28"/>
        </w:rPr>
        <w:t xml:space="preserve">September </w:t>
      </w:r>
      <w:r w:rsidR="00AB38EC" w:rsidRPr="00AB38EC">
        <w:rPr>
          <w:b/>
          <w:sz w:val="28"/>
        </w:rPr>
        <w:t>2020 Learning Institute Breakout Session Notes</w:t>
      </w:r>
    </w:p>
    <w:p w14:paraId="032CF98A" w14:textId="56217E4E" w:rsidR="00AB38EC" w:rsidRDefault="00AB38EC" w:rsidP="00AB38EC">
      <w:r w:rsidRPr="00607E5E">
        <w:rPr>
          <w:b/>
          <w:bCs/>
        </w:rPr>
        <w:t>Session Title</w:t>
      </w:r>
      <w:r>
        <w:t>:</w:t>
      </w:r>
      <w:r w:rsidR="005F1D57">
        <w:t xml:space="preserve"> </w:t>
      </w:r>
      <w:r w:rsidR="009E6990" w:rsidRPr="009E6990">
        <w:t>Medicaid Levers to Advance Maternal Health Outcomes</w:t>
      </w:r>
    </w:p>
    <w:p w14:paraId="6F6DCF7D" w14:textId="7339F4BE" w:rsidR="00AB38EC" w:rsidRDefault="00AB38EC" w:rsidP="00AB38EC">
      <w:r w:rsidRPr="00607E5E">
        <w:rPr>
          <w:b/>
          <w:bCs/>
        </w:rPr>
        <w:t>Session Number</w:t>
      </w:r>
      <w:r>
        <w:t>:</w:t>
      </w:r>
      <w:r w:rsidR="005F1D57">
        <w:t xml:space="preserve"> </w:t>
      </w:r>
      <w:r w:rsidR="009E6990" w:rsidRPr="009E6990">
        <w:t>Maternal Health topic Breakouts #1</w:t>
      </w:r>
      <w:r w:rsidR="009E6990">
        <w:t>C</w:t>
      </w:r>
    </w:p>
    <w:p w14:paraId="62BDDCA1" w14:textId="77777777" w:rsidR="00AB38EC" w:rsidRPr="00607E5E" w:rsidRDefault="00AB38EC" w:rsidP="00AB38EC">
      <w:pPr>
        <w:rPr>
          <w:b/>
          <w:bCs/>
        </w:rPr>
      </w:pPr>
      <w:r w:rsidRPr="00607E5E">
        <w:rPr>
          <w:b/>
          <w:bCs/>
        </w:rPr>
        <w:t>Main session takeaways (no more than 5)</w:t>
      </w:r>
    </w:p>
    <w:p w14:paraId="28C604C0" w14:textId="3E42EDCE" w:rsidR="00AB38EC" w:rsidRDefault="00FA6D29" w:rsidP="00AB38EC">
      <w:pPr>
        <w:pStyle w:val="ListParagraph"/>
        <w:numPr>
          <w:ilvl w:val="0"/>
          <w:numId w:val="1"/>
        </w:numPr>
      </w:pPr>
      <w:r>
        <w:t>Lots of resources available to states that want to look at extending Medicaid coverage past 60 days postpartum. These include talking points and other information that can be used by variety of audiences to make the case. Increased attention to Maternal Mortality has led to more openness in many states for extending coverage. Advise states to go for a year postpartum; though there may be compromise there, for example in GA an extension to 6 months was achieved recently.</w:t>
      </w:r>
    </w:p>
    <w:p w14:paraId="20E2D8D3" w14:textId="132ABCF3" w:rsidR="00607E5E" w:rsidRDefault="00FA6D29" w:rsidP="00607E5E">
      <w:pPr>
        <w:pStyle w:val="ListParagraph"/>
        <w:numPr>
          <w:ilvl w:val="0"/>
          <w:numId w:val="1"/>
        </w:numPr>
      </w:pPr>
      <w:r>
        <w:t>Extension can happen through 1115 Waivers (most common), State Plan amendments, or ACA Medicaid Expansion</w:t>
      </w:r>
    </w:p>
    <w:p w14:paraId="056E8D81" w14:textId="2F70A8BE" w:rsidR="00607E5E" w:rsidRDefault="00FA6D29" w:rsidP="00607E5E">
      <w:pPr>
        <w:pStyle w:val="ListParagraph"/>
        <w:numPr>
          <w:ilvl w:val="0"/>
          <w:numId w:val="1"/>
        </w:numPr>
      </w:pPr>
      <w:r>
        <w:t xml:space="preserve">Q in chat: </w:t>
      </w:r>
      <w:r w:rsidRPr="00D34477">
        <w:t>Do all states have to go through legislation? Other 1115 waivers have just been done through state Medicaid, right?</w:t>
      </w:r>
      <w:r>
        <w:t xml:space="preserve"> Bill - it varies by state. In GA there is requirements for legislative approval of any waivers - this isn’t the case in all states. Angie - also need to consider budget implications when thinking of who needs to ‘approve’ even without legislation. Generally wise to let your state legislature know regardless.</w:t>
      </w:r>
    </w:p>
    <w:p w14:paraId="341B6260" w14:textId="4CE0F99A" w:rsidR="00FA6D29" w:rsidRDefault="00FA6D29" w:rsidP="00FA6D29">
      <w:pPr>
        <w:pStyle w:val="ListParagraph"/>
        <w:numPr>
          <w:ilvl w:val="0"/>
          <w:numId w:val="1"/>
        </w:numPr>
      </w:pPr>
      <w:r>
        <w:t>Doula Coverage: Current policies in several states. Several cover Doula services. National Law program (included in resources) that tracks the coverage and legislation around coverage for Doulas. Several states enacted in 2019. More in 2020.</w:t>
      </w:r>
    </w:p>
    <w:p w14:paraId="500F106D" w14:textId="7FB2ADBE" w:rsidR="00607E5E" w:rsidRDefault="00FA6D29" w:rsidP="00FA6D29">
      <w:pPr>
        <w:pStyle w:val="ListParagraph"/>
        <w:numPr>
          <w:ilvl w:val="0"/>
          <w:numId w:val="1"/>
        </w:numPr>
      </w:pPr>
      <w:r>
        <w:t>Doula coverage in NM - with Bill’s help they approached state Medicaid office (as required for RMOMS) to share introductory information; then they recommended getting some data to compare to other states. Reimbursement v. cost. Then they added local data. Working with Medicaid as a partner at the table to figure it out. Still in first steps, but hopeful for where it may go. Testament to how diverse it is across states. Hard to compare the landscape here.</w:t>
      </w:r>
    </w:p>
    <w:p w14:paraId="2D34EC2D" w14:textId="77777777" w:rsidR="00607E5E" w:rsidRDefault="00607E5E" w:rsidP="00607E5E"/>
    <w:p w14:paraId="24FDFCCA" w14:textId="498817CA" w:rsidR="00AB38EC" w:rsidRPr="00607E5E" w:rsidRDefault="00AB38EC" w:rsidP="00607E5E">
      <w:pPr>
        <w:rPr>
          <w:b/>
          <w:bCs/>
        </w:rPr>
      </w:pPr>
      <w:r w:rsidRPr="00607E5E">
        <w:rPr>
          <w:b/>
          <w:bCs/>
        </w:rPr>
        <w:t>Resources shared</w:t>
      </w:r>
    </w:p>
    <w:p w14:paraId="05057E1F" w14:textId="2D56D219" w:rsidR="00607E5E" w:rsidRDefault="00155325" w:rsidP="00607E5E">
      <w:r w:rsidRPr="00155325">
        <w:t>ACOG Advocacy Resources</w:t>
      </w:r>
    </w:p>
    <w:p w14:paraId="419C4A54" w14:textId="77777777" w:rsidR="00CF4841" w:rsidRPr="00155325" w:rsidRDefault="00B025C8" w:rsidP="00155325">
      <w:pPr>
        <w:numPr>
          <w:ilvl w:val="0"/>
          <w:numId w:val="2"/>
        </w:numPr>
      </w:pPr>
      <w:hyperlink r:id="rId12" w:history="1">
        <w:r w:rsidR="00495081" w:rsidRPr="00155325">
          <w:rPr>
            <w:rStyle w:val="Hyperlink"/>
          </w:rPr>
          <w:t>Policy Priorities: Extend Postpartum Medicaid Coverage</w:t>
        </w:r>
      </w:hyperlink>
    </w:p>
    <w:p w14:paraId="23DC6098" w14:textId="77777777" w:rsidR="00CF4841" w:rsidRPr="00155325" w:rsidRDefault="00B025C8" w:rsidP="00155325">
      <w:pPr>
        <w:numPr>
          <w:ilvl w:val="0"/>
          <w:numId w:val="2"/>
        </w:numPr>
      </w:pPr>
      <w:hyperlink r:id="rId13" w:history="1">
        <w:r w:rsidR="00495081" w:rsidRPr="00155325">
          <w:rPr>
            <w:rStyle w:val="Hyperlink"/>
          </w:rPr>
          <w:t>State Legislative and Regulatory Pathways</w:t>
        </w:r>
      </w:hyperlink>
    </w:p>
    <w:p w14:paraId="58726628" w14:textId="77777777" w:rsidR="00CF4841" w:rsidRPr="00155325" w:rsidRDefault="00B025C8" w:rsidP="00155325">
      <w:pPr>
        <w:numPr>
          <w:ilvl w:val="0"/>
          <w:numId w:val="2"/>
        </w:numPr>
      </w:pPr>
      <w:hyperlink r:id="rId14" w:history="1">
        <w:r w:rsidR="00495081" w:rsidRPr="00155325">
          <w:rPr>
            <w:rStyle w:val="Hyperlink"/>
          </w:rPr>
          <w:t>Postpartum Extension Q&amp;A</w:t>
        </w:r>
      </w:hyperlink>
    </w:p>
    <w:p w14:paraId="37C5FC8D" w14:textId="77777777" w:rsidR="00CF4841" w:rsidRPr="00155325" w:rsidRDefault="00B025C8" w:rsidP="00155325">
      <w:pPr>
        <w:numPr>
          <w:ilvl w:val="0"/>
          <w:numId w:val="2"/>
        </w:numPr>
      </w:pPr>
      <w:hyperlink r:id="rId15" w:history="1">
        <w:r w:rsidR="00495081" w:rsidRPr="00155325">
          <w:rPr>
            <w:rStyle w:val="Hyperlink"/>
          </w:rPr>
          <w:t>Postpartum Extension Talking Points</w:t>
        </w:r>
      </w:hyperlink>
    </w:p>
    <w:p w14:paraId="417675E7" w14:textId="77777777" w:rsidR="00CF4841" w:rsidRPr="00155325" w:rsidRDefault="00B025C8" w:rsidP="00155325">
      <w:pPr>
        <w:numPr>
          <w:ilvl w:val="0"/>
          <w:numId w:val="2"/>
        </w:numPr>
      </w:pPr>
      <w:hyperlink r:id="rId16" w:history="1">
        <w:r w:rsidR="00495081" w:rsidRPr="00155325">
          <w:rPr>
            <w:rStyle w:val="Hyperlink"/>
          </w:rPr>
          <w:t>Postpartum Medicaid Coverage Extended During COVID-19: Resources for Your Practice</w:t>
        </w:r>
      </w:hyperlink>
    </w:p>
    <w:p w14:paraId="76C6D85A" w14:textId="5CF2CD89" w:rsidR="00155325" w:rsidRDefault="00155325" w:rsidP="00607E5E">
      <w:r>
        <w:lastRenderedPageBreak/>
        <w:t>Other Resources</w:t>
      </w:r>
    </w:p>
    <w:p w14:paraId="762CFD31" w14:textId="77777777" w:rsidR="00CF4841" w:rsidRPr="00155325" w:rsidRDefault="00B025C8" w:rsidP="00155325">
      <w:pPr>
        <w:numPr>
          <w:ilvl w:val="0"/>
          <w:numId w:val="3"/>
        </w:numPr>
      </w:pPr>
      <w:hyperlink r:id="rId17" w:history="1">
        <w:r w:rsidR="00495081" w:rsidRPr="00155325">
          <w:rPr>
            <w:rStyle w:val="Hyperlink"/>
          </w:rPr>
          <w:t>Equitable Maternal Health Coalition (2020) Postpartum Medicaid Toolkits</w:t>
        </w:r>
      </w:hyperlink>
    </w:p>
    <w:p w14:paraId="36FA3338" w14:textId="77777777" w:rsidR="00CF4841" w:rsidRPr="00155325" w:rsidRDefault="00B025C8" w:rsidP="00155325">
      <w:pPr>
        <w:numPr>
          <w:ilvl w:val="0"/>
          <w:numId w:val="3"/>
        </w:numPr>
      </w:pPr>
      <w:hyperlink r:id="rId18" w:history="1">
        <w:r w:rsidR="00495081" w:rsidRPr="00155325">
          <w:rPr>
            <w:rStyle w:val="Hyperlink"/>
          </w:rPr>
          <w:t>Making the Case for Extending Medicaid Coverage Beyond 60 Days Postpartum: A Toolkit for State Advocates</w:t>
        </w:r>
      </w:hyperlink>
    </w:p>
    <w:p w14:paraId="378BACE8" w14:textId="77777777" w:rsidR="00CF4841" w:rsidRPr="00155325" w:rsidRDefault="00B025C8" w:rsidP="00155325">
      <w:pPr>
        <w:numPr>
          <w:ilvl w:val="0"/>
          <w:numId w:val="3"/>
        </w:numPr>
      </w:pPr>
      <w:hyperlink r:id="rId19" w:history="1">
        <w:r w:rsidR="00495081" w:rsidRPr="00155325">
          <w:rPr>
            <w:rStyle w:val="Hyperlink"/>
          </w:rPr>
          <w:t>Continuing Medicaid/CHIP Postpartum Coverage</w:t>
        </w:r>
      </w:hyperlink>
    </w:p>
    <w:p w14:paraId="047517A7" w14:textId="77777777" w:rsidR="00CF4841" w:rsidRPr="00155325" w:rsidRDefault="00B025C8" w:rsidP="00155325">
      <w:pPr>
        <w:numPr>
          <w:ilvl w:val="0"/>
          <w:numId w:val="3"/>
        </w:numPr>
      </w:pPr>
      <w:hyperlink r:id="rId20" w:history="1">
        <w:r w:rsidR="00495081" w:rsidRPr="00155325">
          <w:rPr>
            <w:rStyle w:val="Hyperlink"/>
          </w:rPr>
          <w:t>Frequently Asked Questions: Continuing Medicaid/CHIP Postpartum Coverage</w:t>
        </w:r>
      </w:hyperlink>
    </w:p>
    <w:p w14:paraId="69C3F714" w14:textId="2301F2DA" w:rsidR="00155325" w:rsidRDefault="00155325" w:rsidP="00607E5E">
      <w:r>
        <w:t>Doula Resources</w:t>
      </w:r>
    </w:p>
    <w:p w14:paraId="25D6E774" w14:textId="77777777" w:rsidR="00CF4841" w:rsidRPr="00155325" w:rsidRDefault="00B025C8" w:rsidP="00155325">
      <w:pPr>
        <w:numPr>
          <w:ilvl w:val="0"/>
          <w:numId w:val="4"/>
        </w:numPr>
      </w:pPr>
      <w:hyperlink r:id="rId21" w:history="1">
        <w:r w:rsidR="00495081" w:rsidRPr="00155325">
          <w:rPr>
            <w:rStyle w:val="Hyperlink"/>
          </w:rPr>
          <w:t xml:space="preserve">NASHP Report on Four State Strategies to Employ Doulas </w:t>
        </w:r>
      </w:hyperlink>
    </w:p>
    <w:p w14:paraId="407A021D" w14:textId="77777777" w:rsidR="00CF4841" w:rsidRPr="00155325" w:rsidRDefault="00B025C8" w:rsidP="00155325">
      <w:pPr>
        <w:numPr>
          <w:ilvl w:val="0"/>
          <w:numId w:val="4"/>
        </w:numPr>
      </w:pPr>
      <w:hyperlink r:id="rId22" w:history="1">
        <w:r w:rsidR="00495081" w:rsidRPr="00155325">
          <w:rPr>
            <w:rStyle w:val="Hyperlink"/>
          </w:rPr>
          <w:t>Health Law Project on Doulas in Medicaid with State Legislative tracker</w:t>
        </w:r>
      </w:hyperlink>
    </w:p>
    <w:p w14:paraId="23AFFC7C" w14:textId="77777777" w:rsidR="00CF4841" w:rsidRPr="00155325" w:rsidRDefault="00B025C8" w:rsidP="00155325">
      <w:pPr>
        <w:numPr>
          <w:ilvl w:val="0"/>
          <w:numId w:val="4"/>
        </w:numPr>
      </w:pPr>
      <w:hyperlink r:id="rId23" w:history="1">
        <w:r w:rsidR="00495081" w:rsidRPr="00155325">
          <w:rPr>
            <w:rStyle w:val="Hyperlink"/>
          </w:rPr>
          <w:t>NASHP Doula ROI Infographic</w:t>
        </w:r>
      </w:hyperlink>
    </w:p>
    <w:p w14:paraId="3175F4BE" w14:textId="77777777" w:rsidR="00CF4841" w:rsidRPr="00155325" w:rsidRDefault="00B025C8" w:rsidP="00155325">
      <w:pPr>
        <w:numPr>
          <w:ilvl w:val="0"/>
          <w:numId w:val="4"/>
        </w:numPr>
      </w:pPr>
      <w:hyperlink r:id="rId24" w:history="1">
        <w:r w:rsidR="00495081" w:rsidRPr="00155325">
          <w:rPr>
            <w:rStyle w:val="Hyperlink"/>
          </w:rPr>
          <w:t>Oregon's Doula Scope of Practice</w:t>
        </w:r>
      </w:hyperlink>
    </w:p>
    <w:p w14:paraId="68C287BA" w14:textId="4F9472F2" w:rsidR="00AB38EC" w:rsidRDefault="00AB38EC" w:rsidP="00AB38EC">
      <w:pPr>
        <w:rPr>
          <w:b/>
          <w:bCs/>
        </w:rPr>
      </w:pPr>
      <w:r w:rsidRPr="00607E5E">
        <w:rPr>
          <w:b/>
          <w:bCs/>
        </w:rPr>
        <w:t>Resources needed</w:t>
      </w:r>
    </w:p>
    <w:p w14:paraId="0D0A8284" w14:textId="1149CB83" w:rsidR="00D34477" w:rsidRPr="00D34477" w:rsidRDefault="00D34477" w:rsidP="00AB38EC">
      <w:pPr>
        <w:rPr>
          <w:bCs/>
        </w:rPr>
      </w:pPr>
      <w:r>
        <w:rPr>
          <w:bCs/>
        </w:rPr>
        <w:t>AMCHP extension resource(s) not reflected in above from Alyson.</w:t>
      </w:r>
    </w:p>
    <w:p w14:paraId="51EC1854" w14:textId="02B83C71" w:rsidR="2AB5ED53" w:rsidRDefault="2AB5ED53" w:rsidP="2AB5ED53">
      <w:bookmarkStart w:id="0" w:name="_GoBack"/>
      <w:bookmarkEnd w:id="0"/>
    </w:p>
    <w:sectPr w:rsidR="2AB5ED53">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96D46" w14:textId="77777777" w:rsidR="00B025C8" w:rsidRDefault="00B025C8" w:rsidP="00F709A5">
      <w:pPr>
        <w:spacing w:after="0" w:line="240" w:lineRule="auto"/>
      </w:pPr>
      <w:r>
        <w:separator/>
      </w:r>
    </w:p>
  </w:endnote>
  <w:endnote w:type="continuationSeparator" w:id="0">
    <w:p w14:paraId="22B594C0" w14:textId="77777777" w:rsidR="00B025C8" w:rsidRDefault="00B025C8" w:rsidP="00F709A5">
      <w:pPr>
        <w:spacing w:after="0" w:line="240" w:lineRule="auto"/>
      </w:pPr>
      <w:r>
        <w:continuationSeparator/>
      </w:r>
    </w:p>
  </w:endnote>
  <w:endnote w:type="continuationNotice" w:id="1">
    <w:p w14:paraId="5E6CEF29" w14:textId="77777777" w:rsidR="00B025C8" w:rsidRDefault="00B025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6188" w14:textId="77777777" w:rsidR="00F709A5" w:rsidRPr="00F709A5" w:rsidRDefault="00F709A5" w:rsidP="00F709A5">
    <w:pPr>
      <w:rPr>
        <w:sz w:val="16"/>
        <w:szCs w:val="17"/>
      </w:rPr>
    </w:pPr>
    <w:r w:rsidRPr="00F709A5">
      <w:rPr>
        <w:sz w:val="16"/>
        <w:szCs w:val="17"/>
      </w:rPr>
      <w:t>For further information on this or other topics, please reach out to Lynell Hodges, the MHLIC core manager at ldhodges@email.unc.edu.</w:t>
    </w:r>
  </w:p>
  <w:p w14:paraId="5A656211" w14:textId="77777777" w:rsidR="00F709A5" w:rsidRDefault="00F709A5">
    <w:pPr>
      <w:pStyle w:val="Footer"/>
    </w:pPr>
  </w:p>
  <w:p w14:paraId="7E7000D6" w14:textId="77777777" w:rsidR="00F709A5" w:rsidRDefault="00F70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2399D" w14:textId="77777777" w:rsidR="00B025C8" w:rsidRDefault="00B025C8" w:rsidP="00F709A5">
      <w:pPr>
        <w:spacing w:after="0" w:line="240" w:lineRule="auto"/>
      </w:pPr>
      <w:r>
        <w:separator/>
      </w:r>
    </w:p>
  </w:footnote>
  <w:footnote w:type="continuationSeparator" w:id="0">
    <w:p w14:paraId="44130E65" w14:textId="77777777" w:rsidR="00B025C8" w:rsidRDefault="00B025C8" w:rsidP="00F709A5">
      <w:pPr>
        <w:spacing w:after="0" w:line="240" w:lineRule="auto"/>
      </w:pPr>
      <w:r>
        <w:continuationSeparator/>
      </w:r>
    </w:p>
  </w:footnote>
  <w:footnote w:type="continuationNotice" w:id="1">
    <w:p w14:paraId="0F9E5880" w14:textId="77777777" w:rsidR="00B025C8" w:rsidRDefault="00B025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E0E01"/>
    <w:multiLevelType w:val="hybridMultilevel"/>
    <w:tmpl w:val="1F9AB0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0172B"/>
    <w:multiLevelType w:val="hybridMultilevel"/>
    <w:tmpl w:val="F1B2D31A"/>
    <w:lvl w:ilvl="0" w:tplc="3998D15C">
      <w:start w:val="1"/>
      <w:numFmt w:val="bullet"/>
      <w:lvlText w:val="•"/>
      <w:lvlJc w:val="left"/>
      <w:pPr>
        <w:tabs>
          <w:tab w:val="num" w:pos="720"/>
        </w:tabs>
        <w:ind w:left="720" w:hanging="360"/>
      </w:pPr>
      <w:rPr>
        <w:rFonts w:ascii="Arial" w:hAnsi="Arial" w:hint="default"/>
      </w:rPr>
    </w:lvl>
    <w:lvl w:ilvl="1" w:tplc="486CCA06" w:tentative="1">
      <w:start w:val="1"/>
      <w:numFmt w:val="bullet"/>
      <w:lvlText w:val="•"/>
      <w:lvlJc w:val="left"/>
      <w:pPr>
        <w:tabs>
          <w:tab w:val="num" w:pos="1440"/>
        </w:tabs>
        <w:ind w:left="1440" w:hanging="360"/>
      </w:pPr>
      <w:rPr>
        <w:rFonts w:ascii="Arial" w:hAnsi="Arial" w:hint="default"/>
      </w:rPr>
    </w:lvl>
    <w:lvl w:ilvl="2" w:tplc="D3CA980E" w:tentative="1">
      <w:start w:val="1"/>
      <w:numFmt w:val="bullet"/>
      <w:lvlText w:val="•"/>
      <w:lvlJc w:val="left"/>
      <w:pPr>
        <w:tabs>
          <w:tab w:val="num" w:pos="2160"/>
        </w:tabs>
        <w:ind w:left="2160" w:hanging="360"/>
      </w:pPr>
      <w:rPr>
        <w:rFonts w:ascii="Arial" w:hAnsi="Arial" w:hint="default"/>
      </w:rPr>
    </w:lvl>
    <w:lvl w:ilvl="3" w:tplc="F65CE280" w:tentative="1">
      <w:start w:val="1"/>
      <w:numFmt w:val="bullet"/>
      <w:lvlText w:val="•"/>
      <w:lvlJc w:val="left"/>
      <w:pPr>
        <w:tabs>
          <w:tab w:val="num" w:pos="2880"/>
        </w:tabs>
        <w:ind w:left="2880" w:hanging="360"/>
      </w:pPr>
      <w:rPr>
        <w:rFonts w:ascii="Arial" w:hAnsi="Arial" w:hint="default"/>
      </w:rPr>
    </w:lvl>
    <w:lvl w:ilvl="4" w:tplc="C818F6CC" w:tentative="1">
      <w:start w:val="1"/>
      <w:numFmt w:val="bullet"/>
      <w:lvlText w:val="•"/>
      <w:lvlJc w:val="left"/>
      <w:pPr>
        <w:tabs>
          <w:tab w:val="num" w:pos="3600"/>
        </w:tabs>
        <w:ind w:left="3600" w:hanging="360"/>
      </w:pPr>
      <w:rPr>
        <w:rFonts w:ascii="Arial" w:hAnsi="Arial" w:hint="default"/>
      </w:rPr>
    </w:lvl>
    <w:lvl w:ilvl="5" w:tplc="89A642B6" w:tentative="1">
      <w:start w:val="1"/>
      <w:numFmt w:val="bullet"/>
      <w:lvlText w:val="•"/>
      <w:lvlJc w:val="left"/>
      <w:pPr>
        <w:tabs>
          <w:tab w:val="num" w:pos="4320"/>
        </w:tabs>
        <w:ind w:left="4320" w:hanging="360"/>
      </w:pPr>
      <w:rPr>
        <w:rFonts w:ascii="Arial" w:hAnsi="Arial" w:hint="default"/>
      </w:rPr>
    </w:lvl>
    <w:lvl w:ilvl="6" w:tplc="BECC25FA" w:tentative="1">
      <w:start w:val="1"/>
      <w:numFmt w:val="bullet"/>
      <w:lvlText w:val="•"/>
      <w:lvlJc w:val="left"/>
      <w:pPr>
        <w:tabs>
          <w:tab w:val="num" w:pos="5040"/>
        </w:tabs>
        <w:ind w:left="5040" w:hanging="360"/>
      </w:pPr>
      <w:rPr>
        <w:rFonts w:ascii="Arial" w:hAnsi="Arial" w:hint="default"/>
      </w:rPr>
    </w:lvl>
    <w:lvl w:ilvl="7" w:tplc="58C29D3C" w:tentative="1">
      <w:start w:val="1"/>
      <w:numFmt w:val="bullet"/>
      <w:lvlText w:val="•"/>
      <w:lvlJc w:val="left"/>
      <w:pPr>
        <w:tabs>
          <w:tab w:val="num" w:pos="5760"/>
        </w:tabs>
        <w:ind w:left="5760" w:hanging="360"/>
      </w:pPr>
      <w:rPr>
        <w:rFonts w:ascii="Arial" w:hAnsi="Arial" w:hint="default"/>
      </w:rPr>
    </w:lvl>
    <w:lvl w:ilvl="8" w:tplc="AACE3D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DA45E6D"/>
    <w:multiLevelType w:val="hybridMultilevel"/>
    <w:tmpl w:val="8C146ED4"/>
    <w:lvl w:ilvl="0" w:tplc="59768196">
      <w:start w:val="1"/>
      <w:numFmt w:val="bullet"/>
      <w:lvlText w:val="•"/>
      <w:lvlJc w:val="left"/>
      <w:pPr>
        <w:tabs>
          <w:tab w:val="num" w:pos="720"/>
        </w:tabs>
        <w:ind w:left="720" w:hanging="360"/>
      </w:pPr>
      <w:rPr>
        <w:rFonts w:ascii="Arial" w:hAnsi="Arial" w:hint="default"/>
      </w:rPr>
    </w:lvl>
    <w:lvl w:ilvl="1" w:tplc="D9064EA2" w:tentative="1">
      <w:start w:val="1"/>
      <w:numFmt w:val="bullet"/>
      <w:lvlText w:val="•"/>
      <w:lvlJc w:val="left"/>
      <w:pPr>
        <w:tabs>
          <w:tab w:val="num" w:pos="1440"/>
        </w:tabs>
        <w:ind w:left="1440" w:hanging="360"/>
      </w:pPr>
      <w:rPr>
        <w:rFonts w:ascii="Arial" w:hAnsi="Arial" w:hint="default"/>
      </w:rPr>
    </w:lvl>
    <w:lvl w:ilvl="2" w:tplc="2B68B42A" w:tentative="1">
      <w:start w:val="1"/>
      <w:numFmt w:val="bullet"/>
      <w:lvlText w:val="•"/>
      <w:lvlJc w:val="left"/>
      <w:pPr>
        <w:tabs>
          <w:tab w:val="num" w:pos="2160"/>
        </w:tabs>
        <w:ind w:left="2160" w:hanging="360"/>
      </w:pPr>
      <w:rPr>
        <w:rFonts w:ascii="Arial" w:hAnsi="Arial" w:hint="default"/>
      </w:rPr>
    </w:lvl>
    <w:lvl w:ilvl="3" w:tplc="31B8B73C" w:tentative="1">
      <w:start w:val="1"/>
      <w:numFmt w:val="bullet"/>
      <w:lvlText w:val="•"/>
      <w:lvlJc w:val="left"/>
      <w:pPr>
        <w:tabs>
          <w:tab w:val="num" w:pos="2880"/>
        </w:tabs>
        <w:ind w:left="2880" w:hanging="360"/>
      </w:pPr>
      <w:rPr>
        <w:rFonts w:ascii="Arial" w:hAnsi="Arial" w:hint="default"/>
      </w:rPr>
    </w:lvl>
    <w:lvl w:ilvl="4" w:tplc="20E09DC6" w:tentative="1">
      <w:start w:val="1"/>
      <w:numFmt w:val="bullet"/>
      <w:lvlText w:val="•"/>
      <w:lvlJc w:val="left"/>
      <w:pPr>
        <w:tabs>
          <w:tab w:val="num" w:pos="3600"/>
        </w:tabs>
        <w:ind w:left="3600" w:hanging="360"/>
      </w:pPr>
      <w:rPr>
        <w:rFonts w:ascii="Arial" w:hAnsi="Arial" w:hint="default"/>
      </w:rPr>
    </w:lvl>
    <w:lvl w:ilvl="5" w:tplc="3F16AC66" w:tentative="1">
      <w:start w:val="1"/>
      <w:numFmt w:val="bullet"/>
      <w:lvlText w:val="•"/>
      <w:lvlJc w:val="left"/>
      <w:pPr>
        <w:tabs>
          <w:tab w:val="num" w:pos="4320"/>
        </w:tabs>
        <w:ind w:left="4320" w:hanging="360"/>
      </w:pPr>
      <w:rPr>
        <w:rFonts w:ascii="Arial" w:hAnsi="Arial" w:hint="default"/>
      </w:rPr>
    </w:lvl>
    <w:lvl w:ilvl="6" w:tplc="49CEB1AA" w:tentative="1">
      <w:start w:val="1"/>
      <w:numFmt w:val="bullet"/>
      <w:lvlText w:val="•"/>
      <w:lvlJc w:val="left"/>
      <w:pPr>
        <w:tabs>
          <w:tab w:val="num" w:pos="5040"/>
        </w:tabs>
        <w:ind w:left="5040" w:hanging="360"/>
      </w:pPr>
      <w:rPr>
        <w:rFonts w:ascii="Arial" w:hAnsi="Arial" w:hint="default"/>
      </w:rPr>
    </w:lvl>
    <w:lvl w:ilvl="7" w:tplc="5B8A40BA" w:tentative="1">
      <w:start w:val="1"/>
      <w:numFmt w:val="bullet"/>
      <w:lvlText w:val="•"/>
      <w:lvlJc w:val="left"/>
      <w:pPr>
        <w:tabs>
          <w:tab w:val="num" w:pos="5760"/>
        </w:tabs>
        <w:ind w:left="5760" w:hanging="360"/>
      </w:pPr>
      <w:rPr>
        <w:rFonts w:ascii="Arial" w:hAnsi="Arial" w:hint="default"/>
      </w:rPr>
    </w:lvl>
    <w:lvl w:ilvl="8" w:tplc="A4DE4C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0D6592F"/>
    <w:multiLevelType w:val="hybridMultilevel"/>
    <w:tmpl w:val="5B041CDA"/>
    <w:lvl w:ilvl="0" w:tplc="5616F116">
      <w:start w:val="1"/>
      <w:numFmt w:val="bullet"/>
      <w:lvlText w:val="•"/>
      <w:lvlJc w:val="left"/>
      <w:pPr>
        <w:tabs>
          <w:tab w:val="num" w:pos="720"/>
        </w:tabs>
        <w:ind w:left="720" w:hanging="360"/>
      </w:pPr>
      <w:rPr>
        <w:rFonts w:ascii="Arial" w:hAnsi="Arial" w:hint="default"/>
      </w:rPr>
    </w:lvl>
    <w:lvl w:ilvl="1" w:tplc="98349DA0" w:tentative="1">
      <w:start w:val="1"/>
      <w:numFmt w:val="bullet"/>
      <w:lvlText w:val="•"/>
      <w:lvlJc w:val="left"/>
      <w:pPr>
        <w:tabs>
          <w:tab w:val="num" w:pos="1440"/>
        </w:tabs>
        <w:ind w:left="1440" w:hanging="360"/>
      </w:pPr>
      <w:rPr>
        <w:rFonts w:ascii="Arial" w:hAnsi="Arial" w:hint="default"/>
      </w:rPr>
    </w:lvl>
    <w:lvl w:ilvl="2" w:tplc="99A4A396" w:tentative="1">
      <w:start w:val="1"/>
      <w:numFmt w:val="bullet"/>
      <w:lvlText w:val="•"/>
      <w:lvlJc w:val="left"/>
      <w:pPr>
        <w:tabs>
          <w:tab w:val="num" w:pos="2160"/>
        </w:tabs>
        <w:ind w:left="2160" w:hanging="360"/>
      </w:pPr>
      <w:rPr>
        <w:rFonts w:ascii="Arial" w:hAnsi="Arial" w:hint="default"/>
      </w:rPr>
    </w:lvl>
    <w:lvl w:ilvl="3" w:tplc="42147FD0" w:tentative="1">
      <w:start w:val="1"/>
      <w:numFmt w:val="bullet"/>
      <w:lvlText w:val="•"/>
      <w:lvlJc w:val="left"/>
      <w:pPr>
        <w:tabs>
          <w:tab w:val="num" w:pos="2880"/>
        </w:tabs>
        <w:ind w:left="2880" w:hanging="360"/>
      </w:pPr>
      <w:rPr>
        <w:rFonts w:ascii="Arial" w:hAnsi="Arial" w:hint="default"/>
      </w:rPr>
    </w:lvl>
    <w:lvl w:ilvl="4" w:tplc="BA642A7E" w:tentative="1">
      <w:start w:val="1"/>
      <w:numFmt w:val="bullet"/>
      <w:lvlText w:val="•"/>
      <w:lvlJc w:val="left"/>
      <w:pPr>
        <w:tabs>
          <w:tab w:val="num" w:pos="3600"/>
        </w:tabs>
        <w:ind w:left="3600" w:hanging="360"/>
      </w:pPr>
      <w:rPr>
        <w:rFonts w:ascii="Arial" w:hAnsi="Arial" w:hint="default"/>
      </w:rPr>
    </w:lvl>
    <w:lvl w:ilvl="5" w:tplc="951A930E" w:tentative="1">
      <w:start w:val="1"/>
      <w:numFmt w:val="bullet"/>
      <w:lvlText w:val="•"/>
      <w:lvlJc w:val="left"/>
      <w:pPr>
        <w:tabs>
          <w:tab w:val="num" w:pos="4320"/>
        </w:tabs>
        <w:ind w:left="4320" w:hanging="360"/>
      </w:pPr>
      <w:rPr>
        <w:rFonts w:ascii="Arial" w:hAnsi="Arial" w:hint="default"/>
      </w:rPr>
    </w:lvl>
    <w:lvl w:ilvl="6" w:tplc="F15AA644" w:tentative="1">
      <w:start w:val="1"/>
      <w:numFmt w:val="bullet"/>
      <w:lvlText w:val="•"/>
      <w:lvlJc w:val="left"/>
      <w:pPr>
        <w:tabs>
          <w:tab w:val="num" w:pos="5040"/>
        </w:tabs>
        <w:ind w:left="5040" w:hanging="360"/>
      </w:pPr>
      <w:rPr>
        <w:rFonts w:ascii="Arial" w:hAnsi="Arial" w:hint="default"/>
      </w:rPr>
    </w:lvl>
    <w:lvl w:ilvl="7" w:tplc="FF3AFFE0" w:tentative="1">
      <w:start w:val="1"/>
      <w:numFmt w:val="bullet"/>
      <w:lvlText w:val="•"/>
      <w:lvlJc w:val="left"/>
      <w:pPr>
        <w:tabs>
          <w:tab w:val="num" w:pos="5760"/>
        </w:tabs>
        <w:ind w:left="5760" w:hanging="360"/>
      </w:pPr>
      <w:rPr>
        <w:rFonts w:ascii="Arial" w:hAnsi="Arial" w:hint="default"/>
      </w:rPr>
    </w:lvl>
    <w:lvl w:ilvl="8" w:tplc="D49E47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8EC"/>
    <w:rsid w:val="000153E8"/>
    <w:rsid w:val="00075121"/>
    <w:rsid w:val="000A232A"/>
    <w:rsid w:val="001442F0"/>
    <w:rsid w:val="00155325"/>
    <w:rsid w:val="001E14AE"/>
    <w:rsid w:val="001E7535"/>
    <w:rsid w:val="00240301"/>
    <w:rsid w:val="00252497"/>
    <w:rsid w:val="002929BE"/>
    <w:rsid w:val="002F50B2"/>
    <w:rsid w:val="00423FA4"/>
    <w:rsid w:val="0043462C"/>
    <w:rsid w:val="00436D15"/>
    <w:rsid w:val="004657BB"/>
    <w:rsid w:val="00470471"/>
    <w:rsid w:val="00495081"/>
    <w:rsid w:val="004A143B"/>
    <w:rsid w:val="004B6FDA"/>
    <w:rsid w:val="005F1D57"/>
    <w:rsid w:val="005F2F5F"/>
    <w:rsid w:val="00607E5E"/>
    <w:rsid w:val="0064402C"/>
    <w:rsid w:val="00792A3E"/>
    <w:rsid w:val="008201E2"/>
    <w:rsid w:val="0083093E"/>
    <w:rsid w:val="00872F4C"/>
    <w:rsid w:val="00896BD4"/>
    <w:rsid w:val="008F28B2"/>
    <w:rsid w:val="008F59FC"/>
    <w:rsid w:val="00920952"/>
    <w:rsid w:val="00942817"/>
    <w:rsid w:val="009C50B1"/>
    <w:rsid w:val="009E6990"/>
    <w:rsid w:val="00A56F16"/>
    <w:rsid w:val="00AB38EC"/>
    <w:rsid w:val="00AB75D5"/>
    <w:rsid w:val="00B025C8"/>
    <w:rsid w:val="00B33B7F"/>
    <w:rsid w:val="00CE1EBE"/>
    <w:rsid w:val="00CF4841"/>
    <w:rsid w:val="00D34477"/>
    <w:rsid w:val="00DC741C"/>
    <w:rsid w:val="00E5686A"/>
    <w:rsid w:val="00EB7A3F"/>
    <w:rsid w:val="00F0106D"/>
    <w:rsid w:val="00F16954"/>
    <w:rsid w:val="00F6449D"/>
    <w:rsid w:val="00F709A5"/>
    <w:rsid w:val="00F7500C"/>
    <w:rsid w:val="00FA6D29"/>
    <w:rsid w:val="00FC4A06"/>
    <w:rsid w:val="00FC6B5B"/>
    <w:rsid w:val="00FE0C2D"/>
    <w:rsid w:val="00FF650A"/>
    <w:rsid w:val="14962375"/>
    <w:rsid w:val="2AB5ED53"/>
    <w:rsid w:val="2EFEFD14"/>
    <w:rsid w:val="6059B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98EB"/>
  <w15:chartTrackingRefBased/>
  <w15:docId w15:val="{ED91ACDD-F64A-478A-B8BD-DAF16B48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8EC"/>
    <w:pPr>
      <w:ind w:left="720"/>
      <w:contextualSpacing/>
    </w:pPr>
  </w:style>
  <w:style w:type="paragraph" w:styleId="Header">
    <w:name w:val="header"/>
    <w:basedOn w:val="Normal"/>
    <w:link w:val="HeaderChar"/>
    <w:uiPriority w:val="99"/>
    <w:unhideWhenUsed/>
    <w:rsid w:val="00F70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9A5"/>
  </w:style>
  <w:style w:type="paragraph" w:styleId="Footer">
    <w:name w:val="footer"/>
    <w:basedOn w:val="Normal"/>
    <w:link w:val="FooterChar"/>
    <w:uiPriority w:val="99"/>
    <w:unhideWhenUsed/>
    <w:rsid w:val="00F70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9A5"/>
  </w:style>
  <w:style w:type="character" w:styleId="Hyperlink">
    <w:name w:val="Hyperlink"/>
    <w:basedOn w:val="DefaultParagraphFont"/>
    <w:uiPriority w:val="99"/>
    <w:unhideWhenUsed/>
    <w:rsid w:val="001442F0"/>
    <w:rPr>
      <w:color w:val="0563C1" w:themeColor="hyperlink"/>
      <w:u w:val="single"/>
    </w:rPr>
  </w:style>
  <w:style w:type="character" w:customStyle="1" w:styleId="UnresolvedMention1">
    <w:name w:val="Unresolved Mention1"/>
    <w:basedOn w:val="DefaultParagraphFont"/>
    <w:uiPriority w:val="99"/>
    <w:semiHidden/>
    <w:unhideWhenUsed/>
    <w:rsid w:val="001442F0"/>
    <w:rPr>
      <w:color w:val="605E5C"/>
      <w:shd w:val="clear" w:color="auto" w:fill="E1DFDD"/>
    </w:rPr>
  </w:style>
  <w:style w:type="paragraph" w:styleId="BalloonText">
    <w:name w:val="Balloon Text"/>
    <w:basedOn w:val="Normal"/>
    <w:link w:val="BalloonTextChar"/>
    <w:uiPriority w:val="99"/>
    <w:semiHidden/>
    <w:unhideWhenUsed/>
    <w:rsid w:val="00872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F4C"/>
    <w:rPr>
      <w:rFonts w:ascii="Segoe UI" w:hAnsi="Segoe UI" w:cs="Segoe UI"/>
      <w:sz w:val="18"/>
      <w:szCs w:val="18"/>
    </w:rPr>
  </w:style>
  <w:style w:type="table" w:styleId="TableGrid">
    <w:name w:val="Table Grid"/>
    <w:basedOn w:val="TableNormal"/>
    <w:uiPriority w:val="39"/>
    <w:rsid w:val="00E56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8117">
      <w:bodyDiv w:val="1"/>
      <w:marLeft w:val="0"/>
      <w:marRight w:val="0"/>
      <w:marTop w:val="0"/>
      <w:marBottom w:val="0"/>
      <w:divBdr>
        <w:top w:val="none" w:sz="0" w:space="0" w:color="auto"/>
        <w:left w:val="none" w:sz="0" w:space="0" w:color="auto"/>
        <w:bottom w:val="none" w:sz="0" w:space="0" w:color="auto"/>
        <w:right w:val="none" w:sz="0" w:space="0" w:color="auto"/>
      </w:divBdr>
      <w:divsChild>
        <w:div w:id="629819004">
          <w:marLeft w:val="360"/>
          <w:marRight w:val="0"/>
          <w:marTop w:val="200"/>
          <w:marBottom w:val="0"/>
          <w:divBdr>
            <w:top w:val="none" w:sz="0" w:space="0" w:color="auto"/>
            <w:left w:val="none" w:sz="0" w:space="0" w:color="auto"/>
            <w:bottom w:val="none" w:sz="0" w:space="0" w:color="auto"/>
            <w:right w:val="none" w:sz="0" w:space="0" w:color="auto"/>
          </w:divBdr>
        </w:div>
        <w:div w:id="1727532696">
          <w:marLeft w:val="360"/>
          <w:marRight w:val="0"/>
          <w:marTop w:val="200"/>
          <w:marBottom w:val="0"/>
          <w:divBdr>
            <w:top w:val="none" w:sz="0" w:space="0" w:color="auto"/>
            <w:left w:val="none" w:sz="0" w:space="0" w:color="auto"/>
            <w:bottom w:val="none" w:sz="0" w:space="0" w:color="auto"/>
            <w:right w:val="none" w:sz="0" w:space="0" w:color="auto"/>
          </w:divBdr>
        </w:div>
        <w:div w:id="2076661251">
          <w:marLeft w:val="360"/>
          <w:marRight w:val="0"/>
          <w:marTop w:val="200"/>
          <w:marBottom w:val="0"/>
          <w:divBdr>
            <w:top w:val="none" w:sz="0" w:space="0" w:color="auto"/>
            <w:left w:val="none" w:sz="0" w:space="0" w:color="auto"/>
            <w:bottom w:val="none" w:sz="0" w:space="0" w:color="auto"/>
            <w:right w:val="none" w:sz="0" w:space="0" w:color="auto"/>
          </w:divBdr>
        </w:div>
        <w:div w:id="1252544898">
          <w:marLeft w:val="360"/>
          <w:marRight w:val="0"/>
          <w:marTop w:val="200"/>
          <w:marBottom w:val="0"/>
          <w:divBdr>
            <w:top w:val="none" w:sz="0" w:space="0" w:color="auto"/>
            <w:left w:val="none" w:sz="0" w:space="0" w:color="auto"/>
            <w:bottom w:val="none" w:sz="0" w:space="0" w:color="auto"/>
            <w:right w:val="none" w:sz="0" w:space="0" w:color="auto"/>
          </w:divBdr>
        </w:div>
      </w:divsChild>
    </w:div>
    <w:div w:id="624236399">
      <w:bodyDiv w:val="1"/>
      <w:marLeft w:val="0"/>
      <w:marRight w:val="0"/>
      <w:marTop w:val="0"/>
      <w:marBottom w:val="0"/>
      <w:divBdr>
        <w:top w:val="none" w:sz="0" w:space="0" w:color="auto"/>
        <w:left w:val="none" w:sz="0" w:space="0" w:color="auto"/>
        <w:bottom w:val="none" w:sz="0" w:space="0" w:color="auto"/>
        <w:right w:val="none" w:sz="0" w:space="0" w:color="auto"/>
      </w:divBdr>
      <w:divsChild>
        <w:div w:id="295336443">
          <w:marLeft w:val="360"/>
          <w:marRight w:val="0"/>
          <w:marTop w:val="200"/>
          <w:marBottom w:val="0"/>
          <w:divBdr>
            <w:top w:val="none" w:sz="0" w:space="0" w:color="auto"/>
            <w:left w:val="none" w:sz="0" w:space="0" w:color="auto"/>
            <w:bottom w:val="none" w:sz="0" w:space="0" w:color="auto"/>
            <w:right w:val="none" w:sz="0" w:space="0" w:color="auto"/>
          </w:divBdr>
        </w:div>
        <w:div w:id="1709836962">
          <w:marLeft w:val="360"/>
          <w:marRight w:val="0"/>
          <w:marTop w:val="200"/>
          <w:marBottom w:val="0"/>
          <w:divBdr>
            <w:top w:val="none" w:sz="0" w:space="0" w:color="auto"/>
            <w:left w:val="none" w:sz="0" w:space="0" w:color="auto"/>
            <w:bottom w:val="none" w:sz="0" w:space="0" w:color="auto"/>
            <w:right w:val="none" w:sz="0" w:space="0" w:color="auto"/>
          </w:divBdr>
        </w:div>
        <w:div w:id="1286933281">
          <w:marLeft w:val="360"/>
          <w:marRight w:val="0"/>
          <w:marTop w:val="200"/>
          <w:marBottom w:val="0"/>
          <w:divBdr>
            <w:top w:val="none" w:sz="0" w:space="0" w:color="auto"/>
            <w:left w:val="none" w:sz="0" w:space="0" w:color="auto"/>
            <w:bottom w:val="none" w:sz="0" w:space="0" w:color="auto"/>
            <w:right w:val="none" w:sz="0" w:space="0" w:color="auto"/>
          </w:divBdr>
        </w:div>
        <w:div w:id="102922682">
          <w:marLeft w:val="360"/>
          <w:marRight w:val="0"/>
          <w:marTop w:val="200"/>
          <w:marBottom w:val="0"/>
          <w:divBdr>
            <w:top w:val="none" w:sz="0" w:space="0" w:color="auto"/>
            <w:left w:val="none" w:sz="0" w:space="0" w:color="auto"/>
            <w:bottom w:val="none" w:sz="0" w:space="0" w:color="auto"/>
            <w:right w:val="none" w:sz="0" w:space="0" w:color="auto"/>
          </w:divBdr>
        </w:div>
        <w:div w:id="1610428437">
          <w:marLeft w:val="360"/>
          <w:marRight w:val="0"/>
          <w:marTop w:val="200"/>
          <w:marBottom w:val="0"/>
          <w:divBdr>
            <w:top w:val="none" w:sz="0" w:space="0" w:color="auto"/>
            <w:left w:val="none" w:sz="0" w:space="0" w:color="auto"/>
            <w:bottom w:val="none" w:sz="0" w:space="0" w:color="auto"/>
            <w:right w:val="none" w:sz="0" w:space="0" w:color="auto"/>
          </w:divBdr>
        </w:div>
      </w:divsChild>
    </w:div>
    <w:div w:id="1738237987">
      <w:bodyDiv w:val="1"/>
      <w:marLeft w:val="0"/>
      <w:marRight w:val="0"/>
      <w:marTop w:val="0"/>
      <w:marBottom w:val="0"/>
      <w:divBdr>
        <w:top w:val="none" w:sz="0" w:space="0" w:color="auto"/>
        <w:left w:val="none" w:sz="0" w:space="0" w:color="auto"/>
        <w:bottom w:val="none" w:sz="0" w:space="0" w:color="auto"/>
        <w:right w:val="none" w:sz="0" w:space="0" w:color="auto"/>
      </w:divBdr>
      <w:divsChild>
        <w:div w:id="2101219230">
          <w:marLeft w:val="360"/>
          <w:marRight w:val="0"/>
          <w:marTop w:val="200"/>
          <w:marBottom w:val="0"/>
          <w:divBdr>
            <w:top w:val="none" w:sz="0" w:space="0" w:color="auto"/>
            <w:left w:val="none" w:sz="0" w:space="0" w:color="auto"/>
            <w:bottom w:val="none" w:sz="0" w:space="0" w:color="auto"/>
            <w:right w:val="none" w:sz="0" w:space="0" w:color="auto"/>
          </w:divBdr>
        </w:div>
        <w:div w:id="1032344712">
          <w:marLeft w:val="360"/>
          <w:marRight w:val="0"/>
          <w:marTop w:val="200"/>
          <w:marBottom w:val="0"/>
          <w:divBdr>
            <w:top w:val="none" w:sz="0" w:space="0" w:color="auto"/>
            <w:left w:val="none" w:sz="0" w:space="0" w:color="auto"/>
            <w:bottom w:val="none" w:sz="0" w:space="0" w:color="auto"/>
            <w:right w:val="none" w:sz="0" w:space="0" w:color="auto"/>
          </w:divBdr>
        </w:div>
        <w:div w:id="3677636">
          <w:marLeft w:val="360"/>
          <w:marRight w:val="0"/>
          <w:marTop w:val="200"/>
          <w:marBottom w:val="0"/>
          <w:divBdr>
            <w:top w:val="none" w:sz="0" w:space="0" w:color="auto"/>
            <w:left w:val="none" w:sz="0" w:space="0" w:color="auto"/>
            <w:bottom w:val="none" w:sz="0" w:space="0" w:color="auto"/>
            <w:right w:val="none" w:sz="0" w:space="0" w:color="auto"/>
          </w:divBdr>
        </w:div>
        <w:div w:id="35265716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og.org/-/media/project/acog/acogorg/files/advocacy/pathways-extending-medicaid-coverage-for-pregnant-women-beyond-60-days-postpartum.pdf" TargetMode="External"/><Relationship Id="rId18" Type="http://schemas.openxmlformats.org/officeDocument/2006/relationships/hyperlink" Target="https://nam03.safelinks.protection.outlook.com/?url=https://static1.squarespace.com/static/5ed4f5c9127dab51d7a53f8e/t/5ee12b312ecd4864f647fe67/1591814991589/State%2BWhite%2BPaper%2B061020-V6.pdf&amp;data=02|01|wrencher1@gsu.edu|9636d92974d74b193e3f08d85c037363|515ad73d8d5e4169895c9789dc742a70|0|0|637360519274076657&amp;sdata=NVqt96BrvHyQf1J/BxJtLoUZs7epR7Eg%2B3nai5jSFdM%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ashp.org/four-state-strategies-to-employ-doulas-to-improve-maternal-health-and-birth-outcomes-in-medicaid/" TargetMode="External"/><Relationship Id="rId7" Type="http://schemas.openxmlformats.org/officeDocument/2006/relationships/webSettings" Target="webSettings.xml"/><Relationship Id="rId12" Type="http://schemas.openxmlformats.org/officeDocument/2006/relationships/hyperlink" Target="https://www.acog.org/advocacy/policy-priorities/extend-postpartum-medicaid-coverage" TargetMode="External"/><Relationship Id="rId17" Type="http://schemas.openxmlformats.org/officeDocument/2006/relationships/hyperlink" Target="https://www.equitablemhc.org/ppmedicaidtoolkit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am03.safelinks.protection.outlook.com/?url=https://www.acog.org/practice-management/payment-resources/resources/postpartum-medicaid-coverage-extended-during-covid-19&amp;data=02|01|wrencher1@gsu.edu|9636d92974d74b193e3f08d85c037363|515ad73d8d5e4169895c9789dc742a70|0|0|637360519274086655&amp;sdata=/7DolkJIwy/1xZ2/BAsogvI04zaH9koTrJ64P0JKmyw%3D&amp;reserved=0" TargetMode="External"/><Relationship Id="rId20" Type="http://schemas.openxmlformats.org/officeDocument/2006/relationships/hyperlink" Target="https://nam03.safelinks.protection.outlook.com/?url=https://static1.squarespace.com/static/5ed4f5c9127dab51d7a53f8e/t/5ee1132fb3c6091c250b6b20/1591808821470/Maternal%2BHealth%2BFederal%2BFAQs%2B060820-V7b.pdf&amp;data=02|01|wrencher1@gsu.edu|9636d92974d74b193e3f08d85c037363|515ad73d8d5e4169895c9789dc742a70|0|0|637360519274086655&amp;sdata=75qg0WMCHUn3F6%2B18N5srvbjAJxz6ZwszNDXJv8RvMc%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www.oregon.gov/oha/OEI/THWMtgDocs/THW%20Scope%20of%20Practice%20Doula_03-28-16.pdf" TargetMode="External"/><Relationship Id="rId5" Type="http://schemas.openxmlformats.org/officeDocument/2006/relationships/styles" Target="styles.xml"/><Relationship Id="rId15" Type="http://schemas.openxmlformats.org/officeDocument/2006/relationships/hyperlink" Target="https://www.acog.org/-/media/project/acog/acogorg/files/advocacy/talkingpoints-extending-medicaid-coverage-for-pregnant-women-beyond-60-days-postpartum.pdf" TargetMode="External"/><Relationship Id="rId23" Type="http://schemas.openxmlformats.org/officeDocument/2006/relationships/hyperlink" Target="https://infogram.com/doula-infographic-new-1hke60dozvx125r?live" TargetMode="External"/><Relationship Id="rId10" Type="http://schemas.openxmlformats.org/officeDocument/2006/relationships/hyperlink" Target="http://www.maternalhealthlearning.org/" TargetMode="External"/><Relationship Id="rId19" Type="http://schemas.openxmlformats.org/officeDocument/2006/relationships/hyperlink" Target="https://nam03.safelinks.protection.outlook.com/?url=https://static1.squarespace.com/static/5ed4f5c9127dab51d7a53f8e/t/5ee113529592717e00288400/1591808867699/Maternal%2BHealth%2BFederal%2BTalking%2BPoints%2B060820-V7b.pdf&amp;data=02|01|wrencher1@gsu.edu|9636d92974d74b193e3f08d85c037363|515ad73d8d5e4169895c9789dc742a70|0|0|637360519274076657&amp;sdata=i7YVz11WuK5LIAFt8VGFg7GE4zprpWdBbMP2zzQmApE%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og.org/-/media/project/acog/acogorg/files/advocacy/qanda-extending-medicaid-coverage-for-pregnant-women-beyond-60-days-postpartum.pdf" TargetMode="External"/><Relationship Id="rId22" Type="http://schemas.openxmlformats.org/officeDocument/2006/relationships/hyperlink" Target="https://healthlaw.org/doulamedicaidprojec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F082892687E4A96FF3F1C52020C1D" ma:contentTypeVersion="12" ma:contentTypeDescription="Create a new document." ma:contentTypeScope="" ma:versionID="8c8a67bb4c721d535a0fb4243865999a">
  <xsd:schema xmlns:xsd="http://www.w3.org/2001/XMLSchema" xmlns:xs="http://www.w3.org/2001/XMLSchema" xmlns:p="http://schemas.microsoft.com/office/2006/metadata/properties" xmlns:ns2="80ff7efa-8012-4117-af08-263e8ebd0c6a" xmlns:ns3="f68f758d-483b-4461-95b7-9782d08e75bf" targetNamespace="http://schemas.microsoft.com/office/2006/metadata/properties" ma:root="true" ma:fieldsID="cb6edb6f51efbc99621e7e2d01876eaa" ns2:_="" ns3:_="">
    <xsd:import namespace="80ff7efa-8012-4117-af08-263e8ebd0c6a"/>
    <xsd:import namespace="f68f758d-483b-4461-95b7-9782d08e75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f7efa-8012-4117-af08-263e8ebd0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f758d-483b-4461-95b7-9782d08e75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95A01B-960F-4B69-BE88-E724350B5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7efa-8012-4117-af08-263e8ebd0c6a"/>
    <ds:schemaRef ds:uri="f68f758d-483b-4461-95b7-9782d08e7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841F9-926A-4CFF-A2A2-AE2A3576DA0D}">
  <ds:schemaRefs>
    <ds:schemaRef ds:uri="http://schemas.microsoft.com/sharepoint/v3/contenttype/forms"/>
  </ds:schemaRefs>
</ds:datastoreItem>
</file>

<file path=customXml/itemProps3.xml><?xml version="1.0" encoding="utf-8"?>
<ds:datastoreItem xmlns:ds="http://schemas.openxmlformats.org/officeDocument/2006/customXml" ds:itemID="{5C50DF37-93EA-4160-8E05-ADCCD6D9DC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4650</Characters>
  <Application>Microsoft Office Word</Application>
  <DocSecurity>0</DocSecurity>
  <Lines>38</Lines>
  <Paragraphs>10</Paragraphs>
  <ScaleCrop>false</ScaleCrop>
  <Company>UNC Chapel Hill</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Mullenix, Amy J</dc:creator>
  <cp:keywords/>
  <dc:description/>
  <cp:lastModifiedBy>Hodges, Lynell</cp:lastModifiedBy>
  <cp:revision>16</cp:revision>
  <dcterms:created xsi:type="dcterms:W3CDTF">2020-09-01T16:18:00Z</dcterms:created>
  <dcterms:modified xsi:type="dcterms:W3CDTF">2020-11-17T21:15:00Z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0x010100862F082892687E4A96FF3F1C52020C1D</vt:lpwstr>
  </property>
</Properties>
</file>